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F57C2C" w14:textId="069AD0F1" w:rsidR="003D7424" w:rsidRPr="003D7424" w:rsidRDefault="00A94542" w:rsidP="003D7424">
      <w:pPr>
        <w:jc w:val="center"/>
        <w:rPr>
          <w:b/>
          <w:sz w:val="24"/>
        </w:rPr>
      </w:pPr>
      <w:r>
        <w:rPr>
          <w:b/>
          <w:sz w:val="24"/>
        </w:rPr>
        <w:t xml:space="preserve">National </w:t>
      </w:r>
      <w:r w:rsidR="003D7424" w:rsidRPr="003D7424">
        <w:rPr>
          <w:b/>
          <w:sz w:val="24"/>
        </w:rPr>
        <w:t xml:space="preserve">TSC Awareness </w:t>
      </w:r>
      <w:r w:rsidR="00A42734">
        <w:rPr>
          <w:b/>
          <w:sz w:val="24"/>
        </w:rPr>
        <w:t>Month -- May</w:t>
      </w:r>
      <w:bookmarkStart w:id="0" w:name="_GoBack"/>
      <w:bookmarkEnd w:id="0"/>
    </w:p>
    <w:p w14:paraId="4B2BA059" w14:textId="5822CABA" w:rsidR="00F32CD0" w:rsidRPr="00865FDC" w:rsidRDefault="003D7424" w:rsidP="00865FDC">
      <w:pPr>
        <w:jc w:val="center"/>
        <w:rPr>
          <w:b/>
          <w:sz w:val="24"/>
        </w:rPr>
      </w:pPr>
      <w:r w:rsidRPr="003D7424">
        <w:rPr>
          <w:b/>
          <w:sz w:val="24"/>
        </w:rPr>
        <w:t>31 Facts</w:t>
      </w:r>
      <w:r w:rsidR="00A94542">
        <w:rPr>
          <w:b/>
          <w:sz w:val="24"/>
        </w:rPr>
        <w:t xml:space="preserve"> for 31 Days</w:t>
      </w:r>
    </w:p>
    <w:p w14:paraId="63B34BF9" w14:textId="77777777" w:rsidR="00D3300C" w:rsidRDefault="00D3300C" w:rsidP="00D3300C">
      <w:r>
        <w:t>1. Tuberous sclerosis complex (TSC) is a genetic disorder that causes tumors to form in vital organs, primarily the brain, eyes, heart, kidneys, liver, lung and skin.</w:t>
      </w:r>
    </w:p>
    <w:p w14:paraId="707680E5" w14:textId="77777777" w:rsidR="005009B7" w:rsidRDefault="005009B7" w:rsidP="00D3300C">
      <w:r>
        <w:t>2</w:t>
      </w:r>
      <w:r w:rsidR="00424A00">
        <w:t xml:space="preserve">.  </w:t>
      </w:r>
      <w:r w:rsidR="00F32CD0">
        <w:t>Tuberous sclerosis complex (</w:t>
      </w:r>
      <w:r w:rsidR="00424A00">
        <w:t>TSC</w:t>
      </w:r>
      <w:r w:rsidR="00F32CD0">
        <w:t>)</w:t>
      </w:r>
      <w:r w:rsidR="00424A00">
        <w:t xml:space="preserve"> </w:t>
      </w:r>
      <w:r>
        <w:t xml:space="preserve">is caused by a mutation in either the TSC1 or TSC2 genes.  </w:t>
      </w:r>
    </w:p>
    <w:p w14:paraId="0D3BD18C" w14:textId="728D52DE" w:rsidR="00D3300C" w:rsidRDefault="00D3300C" w:rsidP="00D3300C">
      <w:r>
        <w:t>3. Many babies with</w:t>
      </w:r>
      <w:r w:rsidR="00C04F97">
        <w:t xml:space="preserve"> t</w:t>
      </w:r>
      <w:r w:rsidR="00F32CD0">
        <w:t>uberous sclerosis complex (</w:t>
      </w:r>
      <w:r>
        <w:t>TSC</w:t>
      </w:r>
      <w:r w:rsidR="00F32CD0">
        <w:t>)</w:t>
      </w:r>
      <w:r>
        <w:t xml:space="preserve"> are now diagnosed before or soon after birth when rhabdomyomas (a type of heart tumor) are detected during routine ultrasounds.</w:t>
      </w:r>
    </w:p>
    <w:p w14:paraId="4AE2A12E" w14:textId="188138DE" w:rsidR="00343B78" w:rsidRDefault="00343B78" w:rsidP="00343B78">
      <w:r>
        <w:t xml:space="preserve">4. </w:t>
      </w:r>
      <w:r w:rsidR="00F32CD0">
        <w:t>Tuberous sclerosis complex (</w:t>
      </w:r>
      <w:r>
        <w:t>TSC</w:t>
      </w:r>
      <w:r w:rsidR="00F32CD0">
        <w:t>)</w:t>
      </w:r>
      <w:r>
        <w:t xml:space="preserve"> affects everyone differently</w:t>
      </w:r>
      <w:r w:rsidR="00C04F97">
        <w:t>,</w:t>
      </w:r>
      <w:r w:rsidR="009B1B43">
        <w:t xml:space="preserve"> even identical twins</w:t>
      </w:r>
      <w:r w:rsidR="00424A00">
        <w:t xml:space="preserve">.  </w:t>
      </w:r>
      <w:r>
        <w:t xml:space="preserve"> </w:t>
      </w:r>
    </w:p>
    <w:p w14:paraId="734E39D3" w14:textId="7DEB34A7" w:rsidR="005009B7" w:rsidRPr="006A5C97" w:rsidRDefault="00343B78" w:rsidP="005009B7">
      <w:r>
        <w:t xml:space="preserve">5. </w:t>
      </w:r>
      <w:r w:rsidR="006A5C97" w:rsidRPr="006A5C97">
        <w:t xml:space="preserve">Tuberous sclerosis complex (TSC) </w:t>
      </w:r>
      <w:r w:rsidR="00C5373B" w:rsidRPr="006A5C97">
        <w:rPr>
          <w:rFonts w:cstheme="minorHAnsi"/>
        </w:rPr>
        <w:t>shows no gender bias and occurs in all races and ethnic groups.</w:t>
      </w:r>
    </w:p>
    <w:p w14:paraId="1B0D44DF" w14:textId="77777777" w:rsidR="00490095" w:rsidRDefault="00490095" w:rsidP="00490095">
      <w:r>
        <w:t>6. More common than Lou Gehrig’s disease (ALS) or cystic fibrosis, tuberous sclerosis</w:t>
      </w:r>
      <w:r w:rsidR="00F32CD0">
        <w:t xml:space="preserve"> complex (TSC)</w:t>
      </w:r>
      <w:r>
        <w:t xml:space="preserve"> is far less known</w:t>
      </w:r>
      <w:r w:rsidR="00CC39A7">
        <w:t>.</w:t>
      </w:r>
    </w:p>
    <w:p w14:paraId="6717E42B" w14:textId="77777777" w:rsidR="00490095" w:rsidRDefault="00490095" w:rsidP="00490095">
      <w:r>
        <w:t xml:space="preserve">7. </w:t>
      </w:r>
      <w:r w:rsidR="009B1B43">
        <w:t>Ev</w:t>
      </w:r>
      <w:r w:rsidR="00CC39A7">
        <w:t>eroli</w:t>
      </w:r>
      <w:r w:rsidR="009B1B43">
        <w:t>mus and rapamycin, which are used to treat some aspects of tuberous sclerosis complex</w:t>
      </w:r>
      <w:r w:rsidR="00F32CD0">
        <w:t xml:space="preserve"> (TSC)</w:t>
      </w:r>
      <w:r w:rsidR="00C570F0">
        <w:t>,</w:t>
      </w:r>
      <w:r w:rsidR="009B1B43">
        <w:t xml:space="preserve"> were developed thanks to scientists studying bacteria in the soil of Easter Island. </w:t>
      </w:r>
    </w:p>
    <w:p w14:paraId="1A993890" w14:textId="77777777" w:rsidR="009517BC" w:rsidRDefault="009517BC" w:rsidP="009517BC">
      <w:r>
        <w:t xml:space="preserve">8. The TAND Checklist is a screening tool to help identify TSC-Associated Neuropsychiatric Disorders (TAND). Every person with </w:t>
      </w:r>
      <w:r w:rsidR="00F32CD0">
        <w:t>tuberous sclerosis complex (</w:t>
      </w:r>
      <w:r>
        <w:t>TSC</w:t>
      </w:r>
      <w:r w:rsidR="00F32CD0">
        <w:t>)</w:t>
      </w:r>
      <w:r>
        <w:t xml:space="preserve"> should be screened for TAND at least once a year with the help of a doctor or nurse. The TAND Checklist is freely downloadable from the internet.</w:t>
      </w:r>
      <w:r w:rsidR="00647397">
        <w:t xml:space="preserve">  </w:t>
      </w:r>
      <w:hyperlink r:id="rId7" w:history="1">
        <w:r w:rsidR="00647397" w:rsidRPr="00502AC2">
          <w:rPr>
            <w:rStyle w:val="Hyperlink"/>
          </w:rPr>
          <w:t>http://tscinternational.org/pages.aspx?content=14</w:t>
        </w:r>
      </w:hyperlink>
      <w:r w:rsidR="00647397">
        <w:t xml:space="preserve"> </w:t>
      </w:r>
    </w:p>
    <w:p w14:paraId="031BB838" w14:textId="77777777" w:rsidR="00584BB2" w:rsidRDefault="009517BC" w:rsidP="00D3300C">
      <w:r>
        <w:t xml:space="preserve">9. </w:t>
      </w:r>
      <w:r w:rsidR="00584BB2">
        <w:t>A team approach to health care, with multiple specialists working together, can benefit people with</w:t>
      </w:r>
      <w:r w:rsidR="00F32CD0">
        <w:t xml:space="preserve"> tuberous sclerosis complex</w:t>
      </w:r>
      <w:r w:rsidR="00584BB2">
        <w:t xml:space="preserve"> </w:t>
      </w:r>
      <w:r w:rsidR="00F32CD0">
        <w:t>(</w:t>
      </w:r>
      <w:r w:rsidR="00584BB2">
        <w:t>TSC</w:t>
      </w:r>
      <w:r w:rsidR="00F32CD0">
        <w:t>)</w:t>
      </w:r>
      <w:r w:rsidR="00584BB2">
        <w:t>. Most people with TSC do not have access to this style of care.</w:t>
      </w:r>
    </w:p>
    <w:p w14:paraId="5976EFE5" w14:textId="51741082" w:rsidR="00D3300C" w:rsidRDefault="00D3300C" w:rsidP="00D3300C">
      <w:r>
        <w:t xml:space="preserve">10. At least half of people with tuberous sclerosis </w:t>
      </w:r>
      <w:r w:rsidR="00F32CD0">
        <w:t xml:space="preserve">complex (TSC) </w:t>
      </w:r>
      <w:r>
        <w:t xml:space="preserve">have normal intellectual ability, but they may still </w:t>
      </w:r>
      <w:r w:rsidR="00F51DC7">
        <w:t>experience</w:t>
      </w:r>
      <w:r>
        <w:t xml:space="preserve"> difficulties with </w:t>
      </w:r>
      <w:r w:rsidR="00CC39A7">
        <w:t xml:space="preserve">neurological </w:t>
      </w:r>
      <w:r w:rsidR="00647397">
        <w:t xml:space="preserve">manifestations </w:t>
      </w:r>
      <w:r w:rsidR="004F0937">
        <w:t xml:space="preserve">that </w:t>
      </w:r>
      <w:r>
        <w:t>affect their daily life functioning</w:t>
      </w:r>
      <w:r w:rsidR="00AA73C6">
        <w:t>.</w:t>
      </w:r>
      <w:r>
        <w:t xml:space="preserve"> </w:t>
      </w:r>
    </w:p>
    <w:p w14:paraId="42DDFCD6" w14:textId="0E9E118A" w:rsidR="00A64C8C" w:rsidRDefault="00A64C8C" w:rsidP="00D3300C">
      <w:r>
        <w:t>11. Yearly blood pressure checks and urine tests are recommended for people with</w:t>
      </w:r>
      <w:r w:rsidR="00F32CD0">
        <w:t xml:space="preserve"> tuberous sclerosis complex (</w:t>
      </w:r>
      <w:r>
        <w:t>TSC</w:t>
      </w:r>
      <w:r w:rsidR="00F32CD0">
        <w:t>)</w:t>
      </w:r>
      <w:r>
        <w:t xml:space="preserve"> to monitor how well their kidneys are working.</w:t>
      </w:r>
    </w:p>
    <w:p w14:paraId="593963A6" w14:textId="6113913B" w:rsidR="00D3300C" w:rsidRDefault="00D3300C" w:rsidP="00D3300C">
      <w:r>
        <w:t xml:space="preserve">12. </w:t>
      </w:r>
      <w:r w:rsidR="00F32CD0">
        <w:t xml:space="preserve">Tuberous sclerosis complex (TSC) </w:t>
      </w:r>
      <w:r>
        <w:t>affects more than &lt;insert estimate&gt; individuals in &lt;country&gt; and many more carers, families and friends who live with the impact of the disease.</w:t>
      </w:r>
    </w:p>
    <w:p w14:paraId="09B0C334" w14:textId="77777777" w:rsidR="00F918D4" w:rsidRPr="00C570F0" w:rsidRDefault="00F918D4" w:rsidP="00F918D4">
      <w:r>
        <w:t xml:space="preserve">13. </w:t>
      </w:r>
      <w:r w:rsidRPr="00C570F0">
        <w:t>People with</w:t>
      </w:r>
      <w:r w:rsidR="00F32CD0">
        <w:t xml:space="preserve"> tuberous sclerosis complex</w:t>
      </w:r>
      <w:r w:rsidRPr="00C570F0">
        <w:t xml:space="preserve"> </w:t>
      </w:r>
      <w:r w:rsidR="00F32CD0">
        <w:t>(</w:t>
      </w:r>
      <w:r w:rsidRPr="00C570F0">
        <w:t>TSC</w:t>
      </w:r>
      <w:r w:rsidR="00F32CD0">
        <w:t>)</w:t>
      </w:r>
      <w:r w:rsidRPr="00C570F0">
        <w:t xml:space="preserve"> should see an ophthalmologist when diagnosed</w:t>
      </w:r>
      <w:r w:rsidR="00AA73C6" w:rsidRPr="00C570F0">
        <w:t xml:space="preserve"> and annually thereafter</w:t>
      </w:r>
      <w:r w:rsidRPr="00C570F0">
        <w:t xml:space="preserve"> to check for eye and vision problems</w:t>
      </w:r>
      <w:r w:rsidR="00AA73C6" w:rsidRPr="00C570F0">
        <w:t>.</w:t>
      </w:r>
    </w:p>
    <w:p w14:paraId="5D3D6AF2" w14:textId="77777777" w:rsidR="00D3300C" w:rsidRDefault="00D3300C" w:rsidP="00D3300C">
      <w:r>
        <w:t>14. Research into cancer, autism, epilepsy and other diseases is benefiting from</w:t>
      </w:r>
      <w:r w:rsidR="00F32CD0">
        <w:t xml:space="preserve"> tuberous sclerosis complex</w:t>
      </w:r>
      <w:r>
        <w:t xml:space="preserve"> </w:t>
      </w:r>
      <w:r w:rsidR="00F32CD0">
        <w:t>(</w:t>
      </w:r>
      <w:r>
        <w:t>TSC</w:t>
      </w:r>
      <w:r w:rsidR="00F32CD0">
        <w:t>)</w:t>
      </w:r>
      <w:r>
        <w:t xml:space="preserve"> research</w:t>
      </w:r>
      <w:r w:rsidR="00AA73C6">
        <w:t>.</w:t>
      </w:r>
    </w:p>
    <w:p w14:paraId="183CA394" w14:textId="7DCE91F7" w:rsidR="00D3300C" w:rsidRPr="00714F34" w:rsidRDefault="00D3300C" w:rsidP="00D3300C">
      <w:r w:rsidRPr="00714F34">
        <w:t>15. Around 1 in 6</w:t>
      </w:r>
      <w:r w:rsidR="00714F34">
        <w:t>,</w:t>
      </w:r>
      <w:r w:rsidRPr="00714F34">
        <w:t>000 babies born are affected by tuberous sclerosis complex</w:t>
      </w:r>
      <w:r w:rsidR="00F32CD0" w:rsidRPr="00714F34">
        <w:t xml:space="preserve"> (TSC)</w:t>
      </w:r>
      <w:r w:rsidRPr="00714F34">
        <w:t xml:space="preserve">.  Worldwide, more than </w:t>
      </w:r>
      <w:r w:rsidR="00714F34">
        <w:t>1</w:t>
      </w:r>
      <w:r w:rsidRPr="00714F34">
        <w:t xml:space="preserve"> million people have TSC</w:t>
      </w:r>
      <w:r w:rsidR="00AA73C6" w:rsidRPr="00714F34">
        <w:t>.</w:t>
      </w:r>
    </w:p>
    <w:p w14:paraId="695C1A30" w14:textId="77777777" w:rsidR="00D3300C" w:rsidRDefault="00D3300C" w:rsidP="00D3300C">
      <w:r>
        <w:lastRenderedPageBreak/>
        <w:t>16. Every 20 minutes somewhere in the world a child is born with tuberous sclerosis complex</w:t>
      </w:r>
      <w:r w:rsidR="00F32CD0">
        <w:t xml:space="preserve"> (TSC)</w:t>
      </w:r>
      <w:r>
        <w:t>.</w:t>
      </w:r>
    </w:p>
    <w:p w14:paraId="0D6590D6" w14:textId="1A710FAB" w:rsidR="00D3300C" w:rsidRDefault="00D3300C" w:rsidP="00D3300C">
      <w:r>
        <w:t xml:space="preserve">17. People with </w:t>
      </w:r>
      <w:r w:rsidR="00F32CD0">
        <w:t>tuberous sclerosis complex (</w:t>
      </w:r>
      <w:r>
        <w:t>TSC</w:t>
      </w:r>
      <w:r w:rsidR="00F32CD0">
        <w:t>)</w:t>
      </w:r>
      <w:r>
        <w:t xml:space="preserve"> should have regular </w:t>
      </w:r>
      <w:r w:rsidR="00F2264B">
        <w:t>check</w:t>
      </w:r>
      <w:r w:rsidR="00714F34">
        <w:t>-</w:t>
      </w:r>
      <w:r w:rsidR="00F2264B">
        <w:t>ups</w:t>
      </w:r>
      <w:r>
        <w:t xml:space="preserve"> to monitor the disease and treat appropriately. Guidelines </w:t>
      </w:r>
      <w:r w:rsidR="00714F34">
        <w:t xml:space="preserve">are available to </w:t>
      </w:r>
      <w:r>
        <w:t>describe the monitoring recommended by international experts in TSC.</w:t>
      </w:r>
      <w:r w:rsidR="00990C9F">
        <w:t xml:space="preserve"> </w:t>
      </w:r>
      <w:r w:rsidR="00F2264B">
        <w:t xml:space="preserve">You can view these at </w:t>
      </w:r>
      <w:hyperlink r:id="rId8" w:history="1">
        <w:r w:rsidR="00A64C8C" w:rsidRPr="00A90E2A">
          <w:rPr>
            <w:rStyle w:val="Hyperlink"/>
          </w:rPr>
          <w:t>www.tscinternational.org/documents/TSCi%20Consensus%20Guidelines.pdf</w:t>
        </w:r>
      </w:hyperlink>
      <w:r w:rsidR="00AA73C6">
        <w:t>.</w:t>
      </w:r>
    </w:p>
    <w:p w14:paraId="0C721CB7" w14:textId="77777777" w:rsidR="00A64C8C" w:rsidRDefault="00A64C8C" w:rsidP="00D3300C">
      <w:r>
        <w:t xml:space="preserve">18. Magnetic resonance imaging (MRI) </w:t>
      </w:r>
      <w:r w:rsidR="004F0937">
        <w:t xml:space="preserve">of the brain </w:t>
      </w:r>
      <w:r w:rsidR="00445843">
        <w:t>is recommended every 1-3 years until the person with</w:t>
      </w:r>
      <w:r w:rsidR="00F32CD0">
        <w:t xml:space="preserve"> tuberous sclerosis complex</w:t>
      </w:r>
      <w:r w:rsidR="00445843">
        <w:t xml:space="preserve"> </w:t>
      </w:r>
      <w:r w:rsidR="00F32CD0">
        <w:t>(</w:t>
      </w:r>
      <w:r w:rsidR="00445843">
        <w:t>TSC</w:t>
      </w:r>
      <w:r w:rsidR="00F32CD0">
        <w:t>)</w:t>
      </w:r>
      <w:r w:rsidR="00445843">
        <w:t xml:space="preserve"> is 25 years old. This is to look for a growth in the brain called a subependymal giant cell astrocytoma (SEGA) that can be life-threatening if left untreated.</w:t>
      </w:r>
    </w:p>
    <w:p w14:paraId="10C44A16" w14:textId="77777777" w:rsidR="00D3300C" w:rsidRDefault="00D3300C" w:rsidP="00D3300C">
      <w:r>
        <w:t xml:space="preserve">19. Tuberous </w:t>
      </w:r>
      <w:r w:rsidR="004F0937">
        <w:t>s</w:t>
      </w:r>
      <w:r>
        <w:t xml:space="preserve">clerosis </w:t>
      </w:r>
      <w:r w:rsidR="004F0937">
        <w:t>complex</w:t>
      </w:r>
      <w:r w:rsidR="00F32CD0">
        <w:t xml:space="preserve"> (TSC)</w:t>
      </w:r>
      <w:r w:rsidR="004F0937">
        <w:t xml:space="preserve"> </w:t>
      </w:r>
      <w:r>
        <w:t xml:space="preserve">is the </w:t>
      </w:r>
      <w:r w:rsidR="004F0937">
        <w:t xml:space="preserve">most common </w:t>
      </w:r>
      <w:r>
        <w:t>genetic disorder associated with epilepsy and autism.</w:t>
      </w:r>
    </w:p>
    <w:p w14:paraId="555AEAE8" w14:textId="6E1A9399" w:rsidR="00C570F0" w:rsidRDefault="00CF4F59" w:rsidP="00D3300C">
      <w:r>
        <w:t>20. Angiofibromas are raised red bumps that grow on the face</w:t>
      </w:r>
      <w:r w:rsidR="00377D6A">
        <w:t>s</w:t>
      </w:r>
      <w:r>
        <w:t xml:space="preserve"> of people with tuberous sclerosis</w:t>
      </w:r>
      <w:r w:rsidR="00F32CD0">
        <w:t xml:space="preserve"> complex (TSC)</w:t>
      </w:r>
      <w:r w:rsidR="00804B98">
        <w:t>. These generally appear by 5</w:t>
      </w:r>
      <w:r>
        <w:t xml:space="preserve"> years of age and affect up to 90% of individuals with TSC.</w:t>
      </w:r>
    </w:p>
    <w:p w14:paraId="1BF2B9F9" w14:textId="77777777" w:rsidR="00CF4F59" w:rsidRDefault="00CF4F59" w:rsidP="00D3300C">
      <w:r>
        <w:t xml:space="preserve">21. Daily application of broad spectrum sunscreen is recommended by </w:t>
      </w:r>
      <w:r w:rsidR="00F32CD0">
        <w:t>tuberous sclerosis complex (</w:t>
      </w:r>
      <w:r>
        <w:t>TSC</w:t>
      </w:r>
      <w:r w:rsidR="00F32CD0">
        <w:t>)</w:t>
      </w:r>
      <w:r>
        <w:t xml:space="preserve"> experts. This is because UV radiation contributes to forming angiofibromas, one of the signs of TSC on the skin.</w:t>
      </w:r>
    </w:p>
    <w:p w14:paraId="49D54A51" w14:textId="46B763D1" w:rsidR="00D3300C" w:rsidRDefault="00D3300C" w:rsidP="00D3300C">
      <w:r>
        <w:t xml:space="preserve">22. Seizures occur in </w:t>
      </w:r>
      <w:r w:rsidR="005009B7">
        <w:t>approximately 85</w:t>
      </w:r>
      <w:r>
        <w:t>% of people with</w:t>
      </w:r>
      <w:r w:rsidR="00F32CD0">
        <w:t xml:space="preserve"> tuberous sclerosis complex</w:t>
      </w:r>
      <w:r>
        <w:t xml:space="preserve"> </w:t>
      </w:r>
      <w:r w:rsidR="00F32CD0">
        <w:t>(</w:t>
      </w:r>
      <w:r>
        <w:t>TSC</w:t>
      </w:r>
      <w:r w:rsidR="00F32CD0">
        <w:t>)</w:t>
      </w:r>
      <w:r>
        <w:t xml:space="preserve">, making epilepsy the most common brain manifestation of </w:t>
      </w:r>
      <w:r w:rsidR="00F32CD0">
        <w:t>TSC</w:t>
      </w:r>
      <w:r>
        <w:t>.</w:t>
      </w:r>
    </w:p>
    <w:p w14:paraId="1690DC7F" w14:textId="77777777" w:rsidR="00D3300C" w:rsidRDefault="00D3300C" w:rsidP="00D3300C">
      <w:r>
        <w:t>23. Very large mutations involving the TSC2 gene and adjacent PKD1 gene on chromosome 16 can lead to severe polycystic kidney disease during childhood. This occurs in less than 5% of people with tuberous sclerosis</w:t>
      </w:r>
      <w:r w:rsidR="00F32CD0">
        <w:t xml:space="preserve"> complex (TSC)</w:t>
      </w:r>
      <w:r>
        <w:t>.</w:t>
      </w:r>
    </w:p>
    <w:p w14:paraId="4E67AA29" w14:textId="77777777" w:rsidR="00CF4F59" w:rsidRDefault="00CF4F59" w:rsidP="00D3300C">
      <w:r>
        <w:t xml:space="preserve">24. Infantile spasms are a common type of seizure in babies with </w:t>
      </w:r>
      <w:r w:rsidR="00F32CD0">
        <w:t>tuberous sclerosis complex (</w:t>
      </w:r>
      <w:r>
        <w:t>TSC</w:t>
      </w:r>
      <w:r w:rsidR="00F32CD0">
        <w:t>)</w:t>
      </w:r>
      <w:r>
        <w:t>.</w:t>
      </w:r>
      <w:r w:rsidR="005009B7">
        <w:t xml:space="preserve">  V</w:t>
      </w:r>
      <w:r>
        <w:t>igabatrin is recommended by TSC experts as</w:t>
      </w:r>
      <w:r w:rsidR="005009B7">
        <w:t xml:space="preserve"> first line treatment, where available, to control these seizures</w:t>
      </w:r>
      <w:r>
        <w:t>.</w:t>
      </w:r>
    </w:p>
    <w:p w14:paraId="79F7BF4F" w14:textId="047D2B89" w:rsidR="00AA73C6" w:rsidRDefault="00D3300C" w:rsidP="00D3300C">
      <w:r>
        <w:t>25. There is no cure for</w:t>
      </w:r>
      <w:r w:rsidR="00F32CD0">
        <w:t xml:space="preserve"> tuberous sclerosis complex</w:t>
      </w:r>
      <w:r w:rsidR="00647397">
        <w:t xml:space="preserve"> </w:t>
      </w:r>
      <w:r w:rsidR="00F32CD0">
        <w:t>(</w:t>
      </w:r>
      <w:r>
        <w:t>TSC</w:t>
      </w:r>
      <w:r w:rsidR="00F32CD0">
        <w:t>)</w:t>
      </w:r>
      <w:r>
        <w:t>.</w:t>
      </w:r>
      <w:r w:rsidR="00A64C8C">
        <w:t xml:space="preserve"> </w:t>
      </w:r>
    </w:p>
    <w:p w14:paraId="3073206D" w14:textId="5C6C62E2" w:rsidR="00CF4F59" w:rsidRDefault="00CF4F59" w:rsidP="00D3300C">
      <w:r>
        <w:t xml:space="preserve">26. </w:t>
      </w:r>
      <w:r w:rsidR="00647397">
        <w:t xml:space="preserve">TSC International (TSCi) tuberous sclerosis complex (TSC) </w:t>
      </w:r>
      <w:r>
        <w:t xml:space="preserve">organisations </w:t>
      </w:r>
      <w:r w:rsidR="005009B7">
        <w:t xml:space="preserve">work </w:t>
      </w:r>
      <w:r>
        <w:t>with local health</w:t>
      </w:r>
      <w:r w:rsidR="00696797">
        <w:t xml:space="preserve"> care</w:t>
      </w:r>
      <w:r>
        <w:t xml:space="preserve"> professionals to i</w:t>
      </w:r>
      <w:r w:rsidR="00377D6A">
        <w:t>mprove the care given to the 1</w:t>
      </w:r>
      <w:r>
        <w:t xml:space="preserve"> million people around the world living with TSC.</w:t>
      </w:r>
    </w:p>
    <w:p w14:paraId="32E3CB4B" w14:textId="1C3DCC88" w:rsidR="00647397" w:rsidRDefault="00CF4F59" w:rsidP="00F918D4">
      <w:r>
        <w:t>27. Research in</w:t>
      </w:r>
      <w:r w:rsidR="00F32CD0">
        <w:t xml:space="preserve"> tuberous sclerosis complex</w:t>
      </w:r>
      <w:r>
        <w:t xml:space="preserve"> </w:t>
      </w:r>
      <w:r w:rsidR="00F32CD0">
        <w:t>(</w:t>
      </w:r>
      <w:r>
        <w:t>TSC</w:t>
      </w:r>
      <w:r w:rsidR="00F32CD0">
        <w:t>)</w:t>
      </w:r>
      <w:r>
        <w:t xml:space="preserve"> has already provided new treatment options for people with TSC. However</w:t>
      </w:r>
      <w:r w:rsidR="00377D6A">
        <w:t>,</w:t>
      </w:r>
      <w:r>
        <w:t xml:space="preserve"> many people around the world do not have access to these medicines or the recommended surveillance</w:t>
      </w:r>
      <w:r w:rsidR="00296912">
        <w:t xml:space="preserve"> for TSC</w:t>
      </w:r>
      <w:r>
        <w:t xml:space="preserve">. </w:t>
      </w:r>
    </w:p>
    <w:p w14:paraId="67FABA0F" w14:textId="77777777" w:rsidR="00F918D4" w:rsidRDefault="00D3300C" w:rsidP="00F918D4">
      <w:r>
        <w:t xml:space="preserve">28. </w:t>
      </w:r>
      <w:r w:rsidR="00F918D4">
        <w:t xml:space="preserve">Almost half of people with tuberous sclerosis </w:t>
      </w:r>
      <w:r w:rsidR="00F32CD0">
        <w:t xml:space="preserve">complex (TSC) </w:t>
      </w:r>
      <w:r w:rsidR="005009B7">
        <w:t xml:space="preserve">will </w:t>
      </w:r>
      <w:r w:rsidR="00F918D4">
        <w:t>be diagnosed with an autism spectrum disorder.</w:t>
      </w:r>
    </w:p>
    <w:p w14:paraId="18C0CC09" w14:textId="77777777" w:rsidR="00D3300C" w:rsidRDefault="00D3300C" w:rsidP="00D3300C">
      <w:r>
        <w:lastRenderedPageBreak/>
        <w:t>29. Up to 90% of people with</w:t>
      </w:r>
      <w:r w:rsidR="00F32CD0">
        <w:t xml:space="preserve"> tuberous sclerosis complex</w:t>
      </w:r>
      <w:r>
        <w:t xml:space="preserve"> </w:t>
      </w:r>
      <w:r w:rsidR="00F32CD0">
        <w:t>(</w:t>
      </w:r>
      <w:r>
        <w:t>TSC</w:t>
      </w:r>
      <w:r w:rsidR="00F32CD0">
        <w:t>)</w:t>
      </w:r>
      <w:r>
        <w:t xml:space="preserve"> will have tumors in their kidneys called angiomyolipomas. Regular MRIs are recommended to monitor these tumors and minimise complications.</w:t>
      </w:r>
    </w:p>
    <w:p w14:paraId="37602F0A" w14:textId="1025A7B0" w:rsidR="00D3300C" w:rsidRDefault="00D3300C" w:rsidP="00D3300C">
      <w:r>
        <w:t xml:space="preserve">30. All people with tuberous sclerosis </w:t>
      </w:r>
      <w:r w:rsidR="00CC39A7">
        <w:t xml:space="preserve">complex </w:t>
      </w:r>
      <w:r w:rsidR="00F32CD0">
        <w:t xml:space="preserve">(TSC) </w:t>
      </w:r>
      <w:r>
        <w:t xml:space="preserve">should </w:t>
      </w:r>
      <w:r w:rsidR="003515CC">
        <w:t>receive</w:t>
      </w:r>
      <w:r>
        <w:t xml:space="preserve"> </w:t>
      </w:r>
      <w:r w:rsidR="009B1B43">
        <w:t xml:space="preserve">genetic counseling </w:t>
      </w:r>
      <w:r>
        <w:t>when diagnosed.</w:t>
      </w:r>
    </w:p>
    <w:p w14:paraId="1F054CA8" w14:textId="4445AFF7" w:rsidR="00C74A2E" w:rsidRDefault="00D3300C" w:rsidP="00D3300C">
      <w:r>
        <w:t>31. Lymphangioleiomyomatosis (LAM) can occur in the lungs of people</w:t>
      </w:r>
      <w:r w:rsidR="001414FC">
        <w:t xml:space="preserve"> with </w:t>
      </w:r>
      <w:r w:rsidR="00F32CD0">
        <w:t>tuberous sclerosis complex (</w:t>
      </w:r>
      <w:r w:rsidR="001414FC">
        <w:t>TSC</w:t>
      </w:r>
      <w:r w:rsidR="00F32CD0">
        <w:t>)</w:t>
      </w:r>
      <w:r w:rsidR="003515CC">
        <w:t xml:space="preserve">, </w:t>
      </w:r>
      <w:r>
        <w:t xml:space="preserve">almost exclusively </w:t>
      </w:r>
      <w:r w:rsidR="003515CC">
        <w:t>in females</w:t>
      </w:r>
      <w:r w:rsidR="001414FC">
        <w:t xml:space="preserve">. High resolution computed tomography is a test </w:t>
      </w:r>
      <w:r w:rsidR="00A64C8C">
        <w:t xml:space="preserve">recommended for </w:t>
      </w:r>
      <w:r w:rsidR="001414FC">
        <w:t>all adult women with TSC to test for LAM.</w:t>
      </w:r>
      <w:r w:rsidR="00377D6A">
        <w:t xml:space="preserve"> </w:t>
      </w:r>
      <w:r w:rsidR="00C74A2E">
        <w:t>June 1 is worldwide LAM awareness day.</w:t>
      </w:r>
    </w:p>
    <w:p w14:paraId="1D9BA05B" w14:textId="77777777" w:rsidR="00343B78" w:rsidRPr="00466E8C" w:rsidRDefault="00343B78" w:rsidP="00C570F0"/>
    <w:sectPr w:rsidR="00343B78" w:rsidRPr="00466E8C" w:rsidSect="00466E8C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AB9F13" w14:textId="77777777" w:rsidR="009D5927" w:rsidRDefault="009D5927" w:rsidP="004F1099">
      <w:pPr>
        <w:spacing w:after="0" w:line="240" w:lineRule="auto"/>
      </w:pPr>
      <w:r>
        <w:separator/>
      </w:r>
    </w:p>
  </w:endnote>
  <w:endnote w:type="continuationSeparator" w:id="0">
    <w:p w14:paraId="16BF27F3" w14:textId="77777777" w:rsidR="009D5927" w:rsidRDefault="009D5927" w:rsidP="004F1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B1254E" w14:textId="77777777" w:rsidR="009D5927" w:rsidRDefault="009D5927" w:rsidP="004F1099">
      <w:pPr>
        <w:spacing w:after="0" w:line="240" w:lineRule="auto"/>
      </w:pPr>
      <w:r>
        <w:separator/>
      </w:r>
    </w:p>
  </w:footnote>
  <w:footnote w:type="continuationSeparator" w:id="0">
    <w:p w14:paraId="202A4B17" w14:textId="77777777" w:rsidR="009D5927" w:rsidRDefault="009D5927" w:rsidP="004F10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6B75A7" w14:textId="4840D3E0" w:rsidR="004F1099" w:rsidRDefault="00A94542" w:rsidP="004F1099">
    <w:pPr>
      <w:pStyle w:val="Header"/>
      <w:tabs>
        <w:tab w:val="clear" w:pos="4513"/>
      </w:tabs>
    </w:pPr>
    <w:r>
      <w:rPr>
        <w:noProof/>
        <w:lang w:val="en-US"/>
      </w:rPr>
      <w:drawing>
        <wp:inline distT="0" distB="0" distL="0" distR="0" wp14:anchorId="7A0D25FE" wp14:editId="2852261C">
          <wp:extent cx="1651635" cy="719502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SA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6922" cy="739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F1099">
      <w:tab/>
    </w:r>
    <w:r w:rsidR="004F1099" w:rsidRPr="00732DA4">
      <w:rPr>
        <w:rFonts w:ascii="Times New Roman" w:hAnsi="Times New Roman" w:cs="Times New Roman"/>
        <w:noProof/>
        <w:lang w:val="en-US"/>
      </w:rPr>
      <w:drawing>
        <wp:inline distT="0" distB="0" distL="0" distR="0" wp14:anchorId="6F6D5EDA" wp14:editId="51DCB3F3">
          <wp:extent cx="1402080" cy="664178"/>
          <wp:effectExtent l="0" t="0" r="762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5776" cy="6659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8D6628" w14:textId="77777777" w:rsidR="004F1099" w:rsidRDefault="004F109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F90271"/>
    <w:multiLevelType w:val="hybridMultilevel"/>
    <w:tmpl w:val="A4028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817969"/>
    <w:multiLevelType w:val="hybridMultilevel"/>
    <w:tmpl w:val="A4028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464794"/>
    <w:multiLevelType w:val="hybridMultilevel"/>
    <w:tmpl w:val="78C0BB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C5210D"/>
    <w:multiLevelType w:val="hybridMultilevel"/>
    <w:tmpl w:val="A4028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F30EF0"/>
    <w:multiLevelType w:val="hybridMultilevel"/>
    <w:tmpl w:val="A4028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333"/>
    <w:rsid w:val="00030929"/>
    <w:rsid w:val="00036E6E"/>
    <w:rsid w:val="00045EF1"/>
    <w:rsid w:val="00052881"/>
    <w:rsid w:val="00125D0D"/>
    <w:rsid w:val="001414FC"/>
    <w:rsid w:val="001B72A6"/>
    <w:rsid w:val="001D1C0A"/>
    <w:rsid w:val="00251333"/>
    <w:rsid w:val="00296912"/>
    <w:rsid w:val="00343B78"/>
    <w:rsid w:val="003515CC"/>
    <w:rsid w:val="00377D6A"/>
    <w:rsid w:val="00391911"/>
    <w:rsid w:val="003D7424"/>
    <w:rsid w:val="00404778"/>
    <w:rsid w:val="00424A00"/>
    <w:rsid w:val="00445843"/>
    <w:rsid w:val="00461E94"/>
    <w:rsid w:val="00466E8C"/>
    <w:rsid w:val="00477F8D"/>
    <w:rsid w:val="00490095"/>
    <w:rsid w:val="004F0937"/>
    <w:rsid w:val="004F1099"/>
    <w:rsid w:val="0050093C"/>
    <w:rsid w:val="005009B7"/>
    <w:rsid w:val="00566253"/>
    <w:rsid w:val="00584BB2"/>
    <w:rsid w:val="00590D52"/>
    <w:rsid w:val="005953B4"/>
    <w:rsid w:val="005D0934"/>
    <w:rsid w:val="00620058"/>
    <w:rsid w:val="00647397"/>
    <w:rsid w:val="00696797"/>
    <w:rsid w:val="006A5C97"/>
    <w:rsid w:val="006C61E9"/>
    <w:rsid w:val="006E0DC7"/>
    <w:rsid w:val="00714F34"/>
    <w:rsid w:val="007B03A9"/>
    <w:rsid w:val="007F6121"/>
    <w:rsid w:val="00804B98"/>
    <w:rsid w:val="008469AD"/>
    <w:rsid w:val="0084783C"/>
    <w:rsid w:val="00865FDC"/>
    <w:rsid w:val="008A3521"/>
    <w:rsid w:val="008A5469"/>
    <w:rsid w:val="009517BC"/>
    <w:rsid w:val="00990C9F"/>
    <w:rsid w:val="009B1B43"/>
    <w:rsid w:val="009B35A2"/>
    <w:rsid w:val="009B742D"/>
    <w:rsid w:val="009D5927"/>
    <w:rsid w:val="00A42734"/>
    <w:rsid w:val="00A64C8C"/>
    <w:rsid w:val="00A94542"/>
    <w:rsid w:val="00A971CB"/>
    <w:rsid w:val="00AA73C6"/>
    <w:rsid w:val="00AE1721"/>
    <w:rsid w:val="00B20AD5"/>
    <w:rsid w:val="00B8415A"/>
    <w:rsid w:val="00BC0B7F"/>
    <w:rsid w:val="00BD1569"/>
    <w:rsid w:val="00C04F97"/>
    <w:rsid w:val="00C5256E"/>
    <w:rsid w:val="00C5373B"/>
    <w:rsid w:val="00C570F0"/>
    <w:rsid w:val="00C74A2E"/>
    <w:rsid w:val="00CA3020"/>
    <w:rsid w:val="00CC39A7"/>
    <w:rsid w:val="00CE3957"/>
    <w:rsid w:val="00CF4F59"/>
    <w:rsid w:val="00D3300C"/>
    <w:rsid w:val="00DF3ED1"/>
    <w:rsid w:val="00E34AFD"/>
    <w:rsid w:val="00E54B5B"/>
    <w:rsid w:val="00E906A6"/>
    <w:rsid w:val="00EB324E"/>
    <w:rsid w:val="00EB7744"/>
    <w:rsid w:val="00F2264B"/>
    <w:rsid w:val="00F229B4"/>
    <w:rsid w:val="00F32CD0"/>
    <w:rsid w:val="00F435FB"/>
    <w:rsid w:val="00F51DC7"/>
    <w:rsid w:val="00F81305"/>
    <w:rsid w:val="00F918D4"/>
    <w:rsid w:val="00FE5CEF"/>
    <w:rsid w:val="00FF3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D474A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13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51333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E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10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099"/>
  </w:style>
  <w:style w:type="paragraph" w:styleId="Footer">
    <w:name w:val="footer"/>
    <w:basedOn w:val="Normal"/>
    <w:link w:val="FooterChar"/>
    <w:uiPriority w:val="99"/>
    <w:unhideWhenUsed/>
    <w:rsid w:val="004F10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099"/>
  </w:style>
  <w:style w:type="paragraph" w:customStyle="1" w:styleId="xmsonormal">
    <w:name w:val="x_msonormal"/>
    <w:basedOn w:val="Normal"/>
    <w:rsid w:val="00343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A64C8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B1B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1B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1B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1B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1B4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9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3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6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2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0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0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97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48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50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595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622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495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5E3E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0599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6148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9460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4616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950046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9298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0311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3126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1817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05564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97036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21931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29507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20960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59513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91767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8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tscinternational.org/pages.aspx?content=14" TargetMode="External"/><Relationship Id="rId8" Type="http://schemas.openxmlformats.org/officeDocument/2006/relationships/hyperlink" Target="http://www.tscinternational.org/documents/TSCi%20Consensus%20Guidelines.pdf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851</Words>
  <Characters>4855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clarepstuart</dc:creator>
  <cp:lastModifiedBy>Jaye Isham</cp:lastModifiedBy>
  <cp:revision>4</cp:revision>
  <cp:lastPrinted>2016-04-20T15:30:00Z</cp:lastPrinted>
  <dcterms:created xsi:type="dcterms:W3CDTF">2016-04-26T11:06:00Z</dcterms:created>
  <dcterms:modified xsi:type="dcterms:W3CDTF">2017-03-21T08:55:00Z</dcterms:modified>
</cp:coreProperties>
</file>